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120"/>
        <w:ind w:left="-426" w:right="-427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Fundação Hospitalar de Hematologia e Hemoterapia do Amazonas (HEMOAM)</w:t>
      </w:r>
    </w:p>
    <w:p>
      <w:pPr>
        <w:pStyle w:val="Default"/>
        <w:spacing w:lineRule="auto" w:line="360" w:before="0" w:after="120"/>
        <w:ind w:left="-426" w:right="-427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Comitê de Ética em Pesquisa com Seres Humanos (CEP)</w:t>
      </w:r>
    </w:p>
    <w:p>
      <w:pPr>
        <w:pStyle w:val="Default"/>
        <w:spacing w:lineRule="auto" w:line="360" w:before="0" w:after="1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Default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Documentos Necessários para Submissão de Projetos de Pesquisa ao CEP-HEMOAM</w:t>
      </w:r>
    </w:p>
    <w:p>
      <w:pPr>
        <w:pStyle w:val="Default"/>
        <w:spacing w:lineRule="auto" w:line="360" w:before="0" w:after="12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Default"/>
        <w:spacing w:lineRule="auto" w:line="360" w:before="0" w:after="120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Prezados Pesquisadores, Alunos e Servidores, </w:t>
      </w:r>
    </w:p>
    <w:p>
      <w:pPr>
        <w:pStyle w:val="Default"/>
        <w:spacing w:lineRule="auto" w:line="360" w:before="0" w:after="120"/>
        <w:ind w:firstLine="708"/>
        <w:jc w:val="both"/>
        <w:rPr/>
      </w:pPr>
      <w:r>
        <w:rPr>
          <w:rFonts w:ascii="Arial" w:hAnsi="Arial"/>
          <w:sz w:val="22"/>
          <w:szCs w:val="22"/>
        </w:rPr>
        <w:t>O Comitê de Ética em Pesquisa com Seres Humanos da Fundação Hospitalar de Hematologia e Hemoterapia do Amazonas (CEP-HEMOAM), a fim de esclarecer e agilizar o procedimento de submissão dos projetos de pesquisa, esclarece que somente serão apreciados projetos de pesquisa submetidos na Plataforma Brasil (</w:t>
      </w:r>
      <w:hyperlink r:id="rId2">
        <w:r>
          <w:rPr>
            <w:rStyle w:val="LinkdaInternet"/>
            <w:rFonts w:ascii="Arial" w:hAnsi="Arial"/>
            <w:sz w:val="22"/>
            <w:szCs w:val="22"/>
          </w:rPr>
          <w:t>http://www.saude.gov.br/plataformabrasil</w:t>
        </w:r>
      </w:hyperlink>
      <w:r>
        <w:rPr>
          <w:rFonts w:ascii="Arial" w:hAnsi="Arial"/>
          <w:sz w:val="22"/>
          <w:szCs w:val="22"/>
        </w:rPr>
        <w:t>) e que apresentarem toda a documentação solicitada, em Português, acompanhado dos originais em língua estrangeira, quando houver. O projeto, para ser submetido à revisão ética, deverá ter seu pesquisador responsável cadastrado na Plataforma Brasil (</w:t>
      </w:r>
      <w:hyperlink r:id="rId3">
        <w:r>
          <w:rPr>
            <w:rStyle w:val="LinkdaInternet"/>
            <w:rFonts w:ascii="Arial" w:hAnsi="Arial"/>
            <w:sz w:val="22"/>
            <w:szCs w:val="22"/>
          </w:rPr>
          <w:t>http://aplicacao.saude.gov.br/plataformabrasil/login.jsf</w:t>
        </w:r>
      </w:hyperlink>
      <w:r>
        <w:rPr>
          <w:rFonts w:ascii="Arial" w:hAnsi="Arial"/>
          <w:sz w:val="22"/>
          <w:szCs w:val="22"/>
        </w:rPr>
        <w:t>) e seguir as orientações para o cadastramento.</w:t>
      </w:r>
    </w:p>
    <w:p>
      <w:pPr>
        <w:pStyle w:val="Default"/>
        <w:spacing w:lineRule="auto" w:line="360" w:before="0" w:after="120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Entende-se por projeto de pesquisa o conjunto de documentos (Anexo I), que pode ser variável a depender do tema, incluindo o projeto, e que apresenta a proposta de uma pesquisa a ser analisada pelo Sistema de Comitê de Ética em Pesquisa (CEP) da Comissão Nacional de Ética em Pesquisa (CONEP). Dependendo do tipo do projeto pode ser necessário o conhecimento de outras resoluções da CONEP (Anexo II, III e IV) .</w:t>
      </w:r>
    </w:p>
    <w:p>
      <w:pPr>
        <w:pStyle w:val="Default"/>
        <w:spacing w:lineRule="auto" w:line="360" w:before="0" w:after="120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Todos os protocolos de pesquisa devem conter: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Folha de rosto:</w:t>
      </w:r>
      <w:r>
        <w:rPr>
          <w:rFonts w:ascii="Arial" w:hAnsi="Arial"/>
          <w:sz w:val="22"/>
          <w:szCs w:val="22"/>
        </w:rPr>
        <w:t xml:space="preserve"> Com todos os campos preenchidos, datados e assinados, com identificação dos signatários. As informações prestadas devem ser compatíveis com as do protocolo. A identificação das assinaturas deve conter, com clareza, o nome completo e a função de quem assina, preferencialmente, indicada por carimbo. O título da pesquisa será apresentado em língua portuguesa e será idêntico ao do projeto de pesquisa;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Projeto de pesquisa original</w:t>
      </w:r>
      <w:bookmarkStart w:id="0" w:name="_GoBack"/>
      <w:bookmarkEnd w:id="0"/>
      <w:r>
        <w:rPr>
          <w:rFonts w:ascii="Arial" w:hAnsi="Arial"/>
          <w:sz w:val="22"/>
          <w:szCs w:val="22"/>
        </w:rPr>
        <w:t>, na íntegra no modelo próprio ou seguindo os itens presentes na Plataforma Brasil;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Declarações pertinentes: </w:t>
      </w:r>
      <w:r>
        <w:rPr>
          <w:rFonts w:ascii="Arial" w:hAnsi="Arial"/>
          <w:sz w:val="22"/>
          <w:szCs w:val="22"/>
        </w:rPr>
        <w:t xml:space="preserve">conforme o tipo de projeto e as demandas apresentadas (vide anexo I), todas devidamente assinadas, a citar: 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Termo de Anuência da Instituição: </w:t>
      </w:r>
      <w:r>
        <w:rPr>
          <w:rFonts w:ascii="Arial" w:hAnsi="Arial"/>
          <w:sz w:val="22"/>
          <w:szCs w:val="22"/>
        </w:rPr>
        <w:t>onde será obtida a amostragem para o projeto.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Termo de anuência dos setores: </w:t>
      </w:r>
      <w:r>
        <w:rPr>
          <w:rFonts w:ascii="Arial" w:hAnsi="Arial"/>
          <w:b w:val="false"/>
          <w:bCs w:val="false"/>
          <w:sz w:val="22"/>
          <w:szCs w:val="22"/>
        </w:rPr>
        <w:t>cada setor onde será realizado a pesquisa.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Termo de Anuência dos Pesquisadores: </w:t>
      </w:r>
      <w:r>
        <w:rPr>
          <w:rFonts w:ascii="Arial" w:hAnsi="Arial"/>
          <w:sz w:val="22"/>
          <w:szCs w:val="22"/>
        </w:rPr>
        <w:t xml:space="preserve">que </w:t>
      </w:r>
      <w:r>
        <w:rPr>
          <w:rFonts w:ascii="Arial" w:hAnsi="Arial"/>
          <w:sz w:val="22"/>
          <w:szCs w:val="22"/>
        </w:rPr>
        <w:t>participarão</w:t>
      </w:r>
      <w:r>
        <w:rPr>
          <w:rFonts w:ascii="Arial" w:hAnsi="Arial"/>
          <w:sz w:val="22"/>
          <w:szCs w:val="22"/>
        </w:rPr>
        <w:t xml:space="preserve"> como colaboradores do projeto.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Declaração de compromisso do pesquisador responsável</w:t>
      </w:r>
      <w:r>
        <w:rPr>
          <w:rFonts w:ascii="Arial" w:hAnsi="Arial"/>
          <w:sz w:val="22"/>
          <w:szCs w:val="22"/>
        </w:rPr>
        <w:t xml:space="preserve">: devidamente assinada, declarando anexar os resultados da pesquisa na Plataforma Brasil, garantindo o sigilo relativo às propriedades intelectuais e patentes industriais; 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Termo de garantia de que os benefícios resultantes do projeto retornem aos participantes da pesquisa</w:t>
      </w:r>
      <w:r>
        <w:rPr>
          <w:rFonts w:ascii="Arial" w:hAnsi="Arial"/>
          <w:sz w:val="22"/>
          <w:szCs w:val="22"/>
        </w:rPr>
        <w:t xml:space="preserve">: seja em termos de retorno social, acesso aos procedimentos, produtos ou agentes da pesquisa; </w:t>
      </w:r>
    </w:p>
    <w:p>
      <w:pPr>
        <w:pStyle w:val="Default"/>
        <w:numPr>
          <w:ilvl w:val="0"/>
          <w:numId w:val="2"/>
        </w:numPr>
        <w:spacing w:lineRule="auto" w:line="360" w:before="0" w:after="120"/>
        <w:ind w:left="1701" w:hanging="36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Termo de previsão de ressarcimento de despesas do participante e seus acompanhantes</w:t>
      </w:r>
      <w:r>
        <w:rPr>
          <w:rFonts w:ascii="Arial" w:hAnsi="Arial"/>
          <w:sz w:val="22"/>
          <w:szCs w:val="22"/>
        </w:rPr>
        <w:t xml:space="preserve">, quando necessário, tais como transporte e alimentação e compensação material nos casos ressalvados no item II.10 da Resolução do CNS 466/12;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Termo de Consentimento Livre e Esclarecido (TCLE) </w:t>
      </w:r>
      <w:r>
        <w:rPr>
          <w:rFonts w:ascii="Arial" w:hAnsi="Arial"/>
          <w:b/>
          <w:sz w:val="22"/>
          <w:szCs w:val="22"/>
        </w:rPr>
        <w:t>e/ou Termo de assentimento livre e Esclarecido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documento público específico para cada pesquisa, incluindo informações sobre as circunstâncias sob as quais o consentimento será obtido, sobre o responsável por obtê-lo e a natureza da informação a ser fornecida aos participantes da pesquisa, ou a dispensa do TCLE deve ser justificadamente solicitada pelo pesquisador responsável ao Sistema CEP/CONEP, para apreciação;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Demonstrativo da existência de infraestrutura necessária e apta ao desenvolvimento da pesquisa e para atender eventuais problemas dela resultantes</w:t>
      </w:r>
      <w:r>
        <w:rPr>
          <w:rFonts w:ascii="Arial" w:hAnsi="Arial"/>
          <w:sz w:val="22"/>
          <w:szCs w:val="22"/>
        </w:rPr>
        <w:t xml:space="preserve">, com documento que expresse a concordância da instituição e/ou organização por meio de seu responsável maior com competência;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Outros documentos que se fizerem necessários</w:t>
      </w:r>
      <w:r>
        <w:rPr>
          <w:rFonts w:ascii="Arial" w:hAnsi="Arial"/>
          <w:sz w:val="22"/>
          <w:szCs w:val="22"/>
        </w:rPr>
        <w:t xml:space="preserve">, de acordo com a especificidade da pesquisa; </w:t>
      </w:r>
    </w:p>
    <w:p>
      <w:pPr>
        <w:pStyle w:val="Default"/>
        <w:spacing w:lineRule="auto" w:line="360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Atenciosamente, </w:t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Coordenação do CEP-HEMOAM</w:t>
      </w:r>
    </w:p>
    <w:p>
      <w:pPr>
        <w:pStyle w:val="Default"/>
        <w:spacing w:lineRule="auto" w:line="360" w:before="0" w:after="12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/>
      </w:pPr>
      <w:r>
        <w:rPr>
          <w:rFonts w:ascii="Arial" w:hAnsi="Arial"/>
          <w:sz w:val="22"/>
          <w:szCs w:val="22"/>
        </w:rPr>
        <w:t>Endereço para contato: Av. Constatino Nery, 4397 – Chapada., Manaus, Amazonas, Brasil.  2° andar do Bloco A da Fundação Hospitalar de Hematologia e Hemoterapia do Amazonas, sala 13.</w:t>
      </w:r>
    </w:p>
    <w:p>
      <w:pPr>
        <w:pStyle w:val="Default"/>
        <w:spacing w:lineRule="auto" w:line="360"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Telefone para Contato: 3655-0114 </w:t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cep@hemoam.am.gov.br</w:t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Anexo I </w:t>
      </w:r>
      <w:r>
        <w:rPr>
          <w:rFonts w:ascii="Arial" w:hAnsi="Arial"/>
          <w:sz w:val="22"/>
          <w:szCs w:val="22"/>
        </w:rPr>
        <w:t>– Lista de checagem documental para protocolos de pesquisa envolvendo ou não o armazenamento de material biológico (biorrepositório) e protocolos de desenvolvimento de biobanco do Conselho Nacional de Saúde.</w:t>
      </w:r>
    </w:p>
    <w:tbl>
      <w:tblPr>
        <w:tblW w:w="920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7"/>
      </w:tblGrid>
      <w:tr>
        <w:trPr>
          <w:trHeight w:val="90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Comissão Nacional de Ética em Pesquisa</w:t>
            </w:r>
          </w:p>
          <w:p>
            <w:pPr>
              <w:pStyle w:val="Default"/>
              <w:spacing w:lineRule="auto" w:line="360" w:before="6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Lista de Checagem para Protocolos de Pesquisa</w:t>
            </w:r>
          </w:p>
        </w:tc>
      </w:tr>
      <w:tr>
        <w:trPr>
          <w:trHeight w:val="90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Itens Obrigatórios para Protocolos de Pesquisa </w:t>
            </w:r>
          </w:p>
        </w:tc>
      </w:tr>
      <w:tr>
        <w:trPr>
          <w:trHeight w:val="259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 Todos os documentos anexados pelo pesquisador</w:t>
            </w:r>
            <w:r>
              <w:rPr>
                <w:rFonts w:ascii="Arial" w:hAnsi="Arial"/>
                <w:sz w:val="20"/>
                <w:szCs w:val="20"/>
              </w:rPr>
              <w:t xml:space="preserve"> devem possibilitar o uso dos recursos “Copiar” e “Colar” em qualquer palavra ou trecho do texto. </w:t>
            </w:r>
          </w:p>
        </w:tc>
      </w:tr>
      <w:tr>
        <w:trPr>
          <w:trHeight w:val="261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02. Protocolo de pesquisa:</w:t>
            </w:r>
            <w:r>
              <w:rPr>
                <w:rFonts w:ascii="Arial" w:hAnsi="Arial"/>
                <w:sz w:val="20"/>
                <w:szCs w:val="20"/>
              </w:rPr>
              <w:t xml:space="preserve"> Anexar arquivo integral do Projeto de Pesquisa. Conforme o item 1 desta lista de checagem, este documento deve possibilitar o uso dos recursos “Copiar” e “Colar”. </w:t>
            </w:r>
          </w:p>
        </w:tc>
      </w:tr>
      <w:tr>
        <w:trPr>
          <w:trHeight w:val="595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 Apresentar “Folha de Rosto</w:t>
            </w:r>
            <w:r>
              <w:rPr>
                <w:rFonts w:ascii="Arial" w:hAnsi="Arial"/>
                <w:sz w:val="20"/>
                <w:szCs w:val="20"/>
              </w:rPr>
              <w:t>” devidamente datad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e assinad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. Caso o pesquisador seja o responsável maior da Instituição, o seu substituto deverá assinar o documento. </w:t>
            </w:r>
          </w:p>
        </w:tc>
      </w:tr>
      <w:tr>
        <w:trPr>
          <w:trHeight w:val="261" w:hRule="atLeast"/>
        </w:trPr>
        <w:tc>
          <w:tcPr>
            <w:tcW w:w="9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04. Apresentar Termo de Consentimento Livre e Esclarecido – TCLE</w:t>
            </w:r>
            <w:r>
              <w:rPr>
                <w:rFonts w:ascii="Arial" w:hAnsi="Arial"/>
                <w:sz w:val="20"/>
                <w:szCs w:val="20"/>
              </w:rPr>
              <w:t xml:space="preserve">: na ausência do TCLE/ </w:t>
            </w:r>
            <w:r>
              <w:rPr>
                <w:rFonts w:ascii="Arial" w:hAnsi="Arial"/>
                <w:sz w:val="20"/>
                <w:szCs w:val="20"/>
              </w:rPr>
              <w:t>TALE</w:t>
            </w:r>
            <w:r>
              <w:rPr>
                <w:rFonts w:ascii="Arial" w:hAnsi="Arial"/>
                <w:sz w:val="20"/>
                <w:szCs w:val="20"/>
              </w:rPr>
              <w:t xml:space="preserve">, apresentar justificativa ou Termo de Dispensa do TCLE. 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Novecento wide Book"/>
          <w:b/>
          <w:b/>
          <w:color w:val="000000"/>
        </w:rPr>
      </w:pPr>
      <w:r>
        <w:rPr>
          <w:rFonts w:cs="Novecento wide Book" w:ascii="Arial" w:hAnsi="Arial"/>
          <w:b/>
          <w:color w:val="000000"/>
        </w:rPr>
      </w:r>
      <w:r>
        <w:br w:type="page"/>
      </w:r>
    </w:p>
    <w:p>
      <w:pPr>
        <w:pStyle w:val="Default"/>
        <w:spacing w:lineRule="auto" w:line="360" w:before="60" w:after="200"/>
        <w:jc w:val="both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Anexo II </w:t>
      </w:r>
      <w:r>
        <w:rPr>
          <w:rFonts w:ascii="Arial" w:hAnsi="Arial"/>
          <w:sz w:val="22"/>
          <w:szCs w:val="22"/>
        </w:rPr>
        <w:t>– Documentos Necessários para Armazenamento de Material Biológico Humano em Biorrepositório (atrelado a um projeto de pesquisa específico).</w:t>
      </w:r>
    </w:p>
    <w:tbl>
      <w:tblPr>
        <w:tblW w:w="917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77"/>
      </w:tblGrid>
      <w:tr>
        <w:trPr>
          <w:trHeight w:val="595" w:hRule="atLeast"/>
        </w:trPr>
        <w:tc>
          <w:tcPr>
            <w:tcW w:w="9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12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Comissão Nacional de Ética em Pesquisa</w:t>
            </w:r>
          </w:p>
          <w:p>
            <w:pPr>
              <w:pStyle w:val="Default"/>
              <w:spacing w:lineRule="auto" w:line="360" w:before="12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 acordo com a Resolução CNS 441/2011 e Portaria MS 2.201/11</w:t>
            </w:r>
          </w:p>
        </w:tc>
      </w:tr>
      <w:tr>
        <w:trPr>
          <w:trHeight w:val="596" w:hRule="atLeast"/>
        </w:trPr>
        <w:tc>
          <w:tcPr>
            <w:tcW w:w="9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 Quanto ao consentimento do participante:</w:t>
            </w:r>
            <w:r>
              <w:rPr>
                <w:rFonts w:ascii="Arial" w:hAnsi="Arial"/>
                <w:sz w:val="20"/>
                <w:szCs w:val="20"/>
              </w:rPr>
              <w:t xml:space="preserve"> O TCLE apresentado deve conter consentimento de autorização para a coleta, o depósito, armazenamento e utilização do material biológico humano atrelado ao projeto de pesquisa específico (Resolução CNS 441/11, itens 2.II e 6; Portaria MS 2.201/11, Capítulo II, Artigos 5° e Capítulo III, Artigo 8). </w:t>
            </w:r>
          </w:p>
        </w:tc>
      </w:tr>
      <w:tr>
        <w:trPr>
          <w:trHeight w:val="765" w:hRule="atLeast"/>
        </w:trPr>
        <w:tc>
          <w:tcPr>
            <w:tcW w:w="9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02. Pesquisa envolvendo mais de uma instituição:</w:t>
            </w:r>
            <w:r>
              <w:rPr>
                <w:rFonts w:ascii="Arial" w:hAnsi="Arial"/>
                <w:sz w:val="20"/>
                <w:szCs w:val="20"/>
              </w:rPr>
              <w:t xml:space="preserve"> Apresentar acordo entre as instituições participantes contemplando operacionalização, compartilhamento, utilização do material biológico humano armazenado em Biorrepositório, inclusive a possibilidade de dissolução futura da parceria e a consequente partilha e destinação dos dados e materiais armazenados. (Resolução CNS 441/2011, item 13; Portaria MS 2.201/11, Capítulo IV, seção II, artigo 19). </w:t>
            </w:r>
          </w:p>
        </w:tc>
      </w:tr>
      <w:tr>
        <w:trPr>
          <w:trHeight w:val="1102" w:hRule="atLeast"/>
        </w:trPr>
        <w:tc>
          <w:tcPr>
            <w:tcW w:w="9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 Constituição ou participação em biorrepositório no exterior:</w:t>
            </w:r>
            <w:r>
              <w:rPr>
                <w:rFonts w:ascii="Arial" w:hAnsi="Arial"/>
                <w:sz w:val="20"/>
                <w:szCs w:val="20"/>
              </w:rPr>
              <w:t xml:space="preserve"> Apresentar documento garantindo ao pesquisador e à instituição brasileiros o direito ao acesso e utilização do material biológico humano armazenado no exterior (e não apenas das amostras depositadas pelo pesquisador). Deve ser garantida, no mínimo, a proporcionalidade na participação e deve ser apresentado o compromisso da instituição destinatária no exterior quanto à vedação do patenteamento e da utilização comercial de material biológico humano, em atenção à normativa brasileira em especial, ao item 14 da Resolução CNS 441/2011 e Portaria MS 2.201/11, capítulo IV, seção I, artigos 11 e 12.</w:t>
            </w:r>
          </w:p>
        </w:tc>
      </w:tr>
    </w:tbl>
    <w:p>
      <w:pPr>
        <w:pStyle w:val="Default"/>
        <w:spacing w:lineRule="auto" w:line="360" w:before="60" w:after="20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OBS: O prazo de vigência do biorrepositório é o prazo de vigência do projeto ao qual está atrelado.</w:t>
      </w:r>
    </w:p>
    <w:p>
      <w:pPr>
        <w:pStyle w:val="Normal"/>
        <w:rPr>
          <w:rFonts w:ascii="Arial" w:hAnsi="Arial" w:cs="Novecento wide Book"/>
          <w:b/>
          <w:b/>
          <w:color w:val="000000"/>
        </w:rPr>
      </w:pPr>
      <w:r>
        <w:rPr>
          <w:rFonts w:cs="Novecento wide Book" w:ascii="Arial" w:hAnsi="Arial"/>
          <w:b/>
          <w:color w:val="000000"/>
        </w:rPr>
      </w:r>
      <w:r>
        <w:br w:type="page"/>
      </w:r>
    </w:p>
    <w:p>
      <w:pPr>
        <w:pStyle w:val="Default"/>
        <w:spacing w:lineRule="auto" w:line="360" w:before="60" w:after="20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Anexo III </w:t>
      </w:r>
      <w:r>
        <w:rPr>
          <w:rFonts w:ascii="Arial" w:hAnsi="Arial"/>
          <w:sz w:val="22"/>
          <w:szCs w:val="22"/>
        </w:rPr>
        <w:t>– Documentos Necessários para Armazenamento de Material Biológico Humano em Biorrepositório (atrelado a um projeto de pesquisa específico, visando à possibilidade de utilização em investigações futuras).</w:t>
      </w:r>
    </w:p>
    <w:tbl>
      <w:tblPr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747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12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Comissão Nacional de Ética em Pesquisa</w:t>
            </w:r>
          </w:p>
          <w:p>
            <w:pPr>
              <w:pStyle w:val="Default"/>
              <w:spacing w:lineRule="auto" w:line="360" w:before="12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 acordo com a Resolução CNS 441/2011 e Portaria MS 2.201/11</w:t>
            </w:r>
          </w:p>
        </w:tc>
      </w:tr>
      <w:tr>
        <w:trPr>
          <w:trHeight w:val="1096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 Quanto à justificativa de necessidade para utilização futura de amostra armazenada.</w:t>
            </w:r>
            <w:r>
              <w:rPr>
                <w:rFonts w:ascii="Arial" w:hAnsi="Arial"/>
                <w:sz w:val="20"/>
                <w:szCs w:val="20"/>
              </w:rPr>
              <w:t xml:space="preserve"> Apresentar documento contendo justificativa quanto à utilização futura das amostras biológicas humanas coletadas e armazenadas durante a pesquisa (Resolução CNS 441/11, itens 2.I e 12). </w:t>
            </w:r>
          </w:p>
        </w:tc>
      </w:tr>
      <w:tr>
        <w:trPr>
          <w:trHeight w:val="1096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02. Quanto ao consentimento do participante:</w:t>
            </w:r>
            <w:r>
              <w:rPr>
                <w:rFonts w:ascii="Arial" w:hAnsi="Arial"/>
                <w:sz w:val="20"/>
                <w:szCs w:val="20"/>
              </w:rPr>
              <w:t xml:space="preserve"> O TCLE apresentado deve conter consentimento de autorização para a coleta, o depósito, o armazenamento e a utilização do material biológico humano atrelado ao projeto de pesquisa específico (Resolução CNS 441/11, itens 2.II e 6; Portaria MS 2.201/11, Capítulo II, Artigos 5° e Capítulo III, Artigo 8). O mesmo TCLE deve ainda informar ao participante a possibilidade de utilização futura da amostra armazenada. Ressalta-se que o uso da mesma estará condicionado à: (a) apresentação de novo projeto de pesquisa para ser analisado e aprovado pelo Sistema CEP/CONEP e (b) obrigatoriamente, ao novo consentimento do participante de pesquisa por meio de um TCLE específico referente ao novo projeto (Resolução CNS 441/11, item 6 e Portaria MS 2.201/11, capítulo II, artigo 5 e capítulo IV, seção II, artigos 17, 18 e 22). </w:t>
            </w:r>
          </w:p>
        </w:tc>
      </w:tr>
      <w:tr>
        <w:trPr>
          <w:trHeight w:val="1096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 Quanto à Declaração de submissão ao Sistema CEP/CONEP em caso de novos estudos:</w:t>
            </w:r>
            <w:r>
              <w:rPr>
                <w:rFonts w:ascii="Arial" w:hAnsi="Arial"/>
                <w:sz w:val="20"/>
                <w:szCs w:val="20"/>
              </w:rPr>
              <w:t xml:space="preserve"> Apresentar documento, devidamente assinado pelo pesquisador, atestando o compromisso de que toda nova pesquisa a ser realizada com o material armazenado será submetida à aprovação do CEP institucional e, quando for o caso, da CONEP (Resolução CNS 441/11, item 2.III). Para cada novo projeto será necessário um novo TCLE. </w:t>
            </w:r>
          </w:p>
        </w:tc>
      </w:tr>
      <w:tr>
        <w:trPr>
          <w:trHeight w:val="1096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04. Pesquisa envolvendo mais de uma instituição:</w:t>
            </w:r>
            <w:r>
              <w:rPr>
                <w:rFonts w:ascii="Arial" w:hAnsi="Arial"/>
                <w:sz w:val="20"/>
                <w:szCs w:val="20"/>
              </w:rPr>
              <w:t xml:space="preserve"> Apresentar acordo entre as instituições participantes contemplando operacionalização, compartilhamento e utilização do material biológico humano armazenado em Biorrepositório, inclusive a possibilidade de dissolução futura da parceria e a consequente partilha e destinação dos dados e materiais armazenados. (Resolução CNS 441/2011, item 13; Portaria MS 2.201/11, Capítulo IV, seção II, artigo 19). </w:t>
            </w:r>
          </w:p>
        </w:tc>
      </w:tr>
      <w:tr>
        <w:trPr>
          <w:trHeight w:val="1096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05. Constituição ou participação em biorrepositório no exterior:</w:t>
            </w:r>
            <w:r>
              <w:rPr>
                <w:rFonts w:ascii="Arial" w:hAnsi="Arial"/>
                <w:sz w:val="20"/>
                <w:szCs w:val="20"/>
              </w:rPr>
              <w:t xml:space="preserve"> Apresentar documento garantindo ao pesquisador e à instituição brasileiros o direito ao acesso e utilização do material biológico humano armazenado no exterior (e não apenas das amostras depositadas pelo pesquisador). Deve ser garantida, no mínimo, a proporcionalidade na participação e deve ser apresentado o compromisso da instituição destinatária no exterior quanto à vedação do patenteamento e da utilização comercial de material biológico humano, em atenção à normativa brasileira em especial, ao item 14 da Resolução CNS 441/2011 e Portaria MS 2.201/11, capítulo IV, seção I, artigos 11 e 12 </w:t>
            </w:r>
          </w:p>
        </w:tc>
      </w:tr>
    </w:tbl>
    <w:p>
      <w:pPr>
        <w:pStyle w:val="Default"/>
        <w:spacing w:lineRule="auto" w:line="360" w:before="60" w:after="20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OBS: O prazo de vigência do biorrepositório pode ser autorizado por até 10 anos, sendo possíveis renovações (Resolução CNS 441/11, artigo 12, item I).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Novecento wide Book"/>
          <w:b/>
          <w:b/>
          <w:color w:val="000000"/>
        </w:rPr>
      </w:pPr>
      <w:r>
        <w:rPr>
          <w:rFonts w:cs="Novecento wide Book" w:ascii="Arial" w:hAnsi="Arial"/>
          <w:b/>
          <w:color w:val="000000"/>
        </w:rPr>
      </w:r>
      <w:r>
        <w:br w:type="page"/>
      </w:r>
    </w:p>
    <w:p>
      <w:pPr>
        <w:pStyle w:val="Default"/>
        <w:spacing w:lineRule="auto" w:line="360" w:before="60" w:after="20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Default"/>
        <w:spacing w:lineRule="auto" w:line="360" w:before="60" w:after="20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Anexo IV </w:t>
      </w:r>
      <w:r>
        <w:rPr>
          <w:rFonts w:ascii="Arial" w:hAnsi="Arial"/>
          <w:sz w:val="22"/>
          <w:szCs w:val="22"/>
        </w:rPr>
        <w:t>– Documentos Necessários para Utilização de Material Biológico Humano Armazenado em Biobanco.</w:t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22"/>
      </w:tblGrid>
      <w:tr>
        <w:trPr>
          <w:trHeight w:val="558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01. Quanto à justificativa de necessidade de utilização: </w:t>
            </w:r>
            <w:r>
              <w:rPr>
                <w:rFonts w:ascii="Arial" w:hAnsi="Arial"/>
                <w:sz w:val="20"/>
                <w:szCs w:val="20"/>
              </w:rPr>
              <w:t>Apresentar justificativa para a utilização de amostras biológicas humanas armazenadas em Biobanco (Resolução CNS 441/11, item 15.II.a).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1096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02. Quanto ao consentimento do participante: </w:t>
            </w:r>
            <w:r>
              <w:rPr>
                <w:rFonts w:ascii="Arial" w:hAnsi="Arial"/>
                <w:sz w:val="20"/>
                <w:szCs w:val="20"/>
              </w:rPr>
              <w:t>Apresentar o modelo de TCLE aprovado quando da autorização de armazenamento do material biológico humano em Biobanco. No caso da intenção de utilização de amostras armazenadas em Biobanco em que o participante optou pelo novo consentimento a cada pesquisa, se faz necessária a apresentação de modelo de TCLE específico e referente à pesquisa em questão ou a solicitação da sua dispensa (Resolução CNS 441/11, itens 15.II.b e 15.II.c; Portaria MS 2.201/11, Capítulo II, artigo 4°, parágrafos 1° ao 4° e capítulo III, artigo 8º).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 w:before="6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03. Quanto ao Regulamento de funcionamento: </w:t>
            </w:r>
            <w:r>
              <w:rPr>
                <w:rFonts w:ascii="Arial" w:hAnsi="Arial"/>
                <w:sz w:val="20"/>
                <w:szCs w:val="20"/>
              </w:rPr>
              <w:t>Apresentar documento comprobatório da aprovação da constituição e funcionamento do Biobanco institucional no qual as amostras estão armazenadas.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Default"/>
        <w:spacing w:lineRule="auto" w:line="360" w:before="0" w:after="12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567" w:top="1701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vecento wide Book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Guardian Egyp Thin">
    <w:charset w:val="00"/>
    <w:family w:val="roman"/>
    <w:pitch w:val="variable"/>
  </w:font>
  <w:font w:name="Geomanis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</w:r>
  </w:p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9" wp14:anchorId="2F838F2B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7135" cy="360680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3600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4.95pt;height:28.3pt" wp14:anchorId="2F838F2B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7" wp14:anchorId="166585A0">
              <wp:simplePos x="0" y="0"/>
              <wp:positionH relativeFrom="margin">
                <wp:posOffset>-95250</wp:posOffset>
              </wp:positionH>
              <wp:positionV relativeFrom="paragraph">
                <wp:posOffset>66675</wp:posOffset>
              </wp:positionV>
              <wp:extent cx="2600325" cy="857885"/>
              <wp:effectExtent l="0" t="0" r="0" b="0"/>
              <wp:wrapNone/>
              <wp:docPr id="3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9560" cy="857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3655-0114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http://www.hemoam.am.gov.br/?secao=cep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E-mail: cephemoam@gmail.com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7.5pt;margin-top:5.25pt;width:204.65pt;height:67.45pt;mso-position-horizontal-relative:margin" wp14:anchorId="166585A0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3655-0114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http://www.hemoam.am.gov.br/?secao=cep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E-mail: cephemoam@gmail.com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1">
          <wp:simplePos x="0" y="0"/>
          <wp:positionH relativeFrom="column">
            <wp:posOffset>3486150</wp:posOffset>
          </wp:positionH>
          <wp:positionV relativeFrom="paragraph">
            <wp:posOffset>68580</wp:posOffset>
          </wp:positionV>
          <wp:extent cx="2195830" cy="834390"/>
          <wp:effectExtent l="0" t="0" r="0" b="0"/>
          <wp:wrapSquare wrapText="largest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9525">
          <wp:extent cx="2085975" cy="781050"/>
          <wp:effectExtent l="0" t="0" r="0" b="0"/>
          <wp:docPr id="1" name="Imagem 1" descr="LOGO cep para escol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ep para escol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05" t="15239" r="10404" b="57663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>
    <w:name w:val="Link da Internet"/>
    <w:basedOn w:val="DefaultParagraphFont"/>
    <w:uiPriority w:val="99"/>
    <w:unhideWhenUsed/>
    <w:rsid w:val="00f73be3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spacing w:lineRule="auto" w:line="240" w:before="0" w:after="0"/>
      <w:jc w:val="left"/>
    </w:pPr>
    <w:rPr>
      <w:rFonts w:ascii="Novecento wide Book" w:hAnsi="Novecento wide Book" w:cs="Novecento wide Book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Normal1" w:customStyle="1">
    <w:name w:val="Normal1"/>
    <w:qFormat/>
    <w:rsid w:val="00051a5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ar-SA" w:val="pt-BR" w:bidi="ar-SA"/>
    </w:rPr>
  </w:style>
  <w:style w:type="paragraph" w:styleId="ListBullet">
    <w:name w:val="List Bullet"/>
    <w:basedOn w:val="Normal"/>
    <w:uiPriority w:val="99"/>
    <w:unhideWhenUsed/>
    <w:qFormat/>
    <w:rsid w:val="004f7468"/>
    <w:pPr>
      <w:spacing w:before="0" w:after="20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ude.gov.br/plataformabrasil" TargetMode="External"/><Relationship Id="rId3" Type="http://schemas.openxmlformats.org/officeDocument/2006/relationships/hyperlink" Target="http://aplicacao.saude.gov.br/plataformabrasil/login.js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F86F-4C7C-450C-83C6-AF6EF06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LibreOffice/5.4.7.2$Windows_X86_64 LibreOffice_project/c838ef25c16710f8838b1faec480ebba495259d0</Application>
  <Pages>8</Pages>
  <Words>1620</Words>
  <Characters>9597</Characters>
  <CharactersWithSpaces>11182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2019-03-12T15:24:00Z</dcterms:created>
  <dc:creator>User</dc:creator>
  <dc:description/>
  <dc:language>pt-BR</dc:language>
  <cp:lastModifiedBy/>
  <cp:lastPrinted>2019-11-27T15:38:00Z</cp:lastPrinted>
  <dcterms:modified xsi:type="dcterms:W3CDTF">2022-04-25T13:24:08Z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